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07FAA" w14:textId="21E3761E" w:rsidR="00765DCC" w:rsidRPr="00765DCC" w:rsidRDefault="00D22498" w:rsidP="00765DC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72608" wp14:editId="238CD489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8001000</wp:posOffset>
                </wp:positionV>
                <wp:extent cx="5829300" cy="1765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BDF4A" w14:textId="60CE8E42" w:rsidR="0073613D" w:rsidRPr="00D22498" w:rsidRDefault="0073613D" w:rsidP="00D22498">
                            <w:pPr>
                              <w:ind w:left="720"/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RESOURCES</w:t>
                            </w:r>
                          </w:p>
                          <w:p w14:paraId="6CC24829" w14:textId="5F95C15F" w:rsidR="0073613D" w:rsidRDefault="00997FE9" w:rsidP="00997FE9">
                            <w:pPr>
                              <w:ind w:left="720"/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Documents To Bring</w:t>
                            </w:r>
                            <w:r w:rsidR="0073613D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WPATH Standards of Care, GMC (General Medical Council) ethical guidance, NHS guidance, GIRES info for medical professionals guidance</w:t>
                            </w:r>
                          </w:p>
                          <w:p w14:paraId="3DCCF7F6" w14:textId="194BBB90" w:rsidR="0073613D" w:rsidRDefault="00626597" w:rsidP="00D22498">
                            <w:pPr>
                              <w:ind w:left="720"/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 xml:space="preserve">Up-to-Date </w:t>
                            </w:r>
                            <w:r w:rsidR="0073613D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Healthcare Info:</w:t>
                            </w:r>
                            <w:r w:rsidR="0073613D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ukftm.tumblr.com advisers, </w:t>
                            </w:r>
                            <w:r w:rsidR="00997FE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transhealthuk.noblogs.org</w:t>
                            </w:r>
                          </w:p>
                          <w:p w14:paraId="4CC8334C" w14:textId="3FF9CE9C" w:rsidR="0073613D" w:rsidRPr="00592F87" w:rsidRDefault="0073613D" w:rsidP="00D22498">
                            <w:pPr>
                              <w:ind w:left="720"/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 xml:space="preserve">Complaints: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Patient Advice and Liaison Services (PALS), Trans Equality Legal Initiative (TELI)</w:t>
                            </w:r>
                          </w:p>
                          <w:p w14:paraId="52BF168E" w14:textId="77777777" w:rsidR="0073613D" w:rsidRPr="00D22498" w:rsidRDefault="0073613D" w:rsidP="00D22498">
                            <w:pPr>
                              <w:ind w:left="720"/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26.95pt;margin-top:630pt;width:459pt;height:1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aMOM0CAAAP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" filled="f" stroked="f">
                <v:textbox>
                  <w:txbxContent>
                    <w:p w14:paraId="214BDF4A" w14:textId="60CE8E42" w:rsidR="0073613D" w:rsidRPr="00D22498" w:rsidRDefault="0073613D" w:rsidP="00D22498">
                      <w:pPr>
                        <w:ind w:left="720"/>
                        <w:jc w:val="center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RESOURCES</w:t>
                      </w:r>
                    </w:p>
                    <w:p w14:paraId="6CC24829" w14:textId="5F95C15F" w:rsidR="0073613D" w:rsidRDefault="00997FE9" w:rsidP="00997FE9">
                      <w:pPr>
                        <w:ind w:left="720"/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Documents To Bring</w:t>
                      </w:r>
                      <w:r w:rsidR="0073613D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>WPATH Standards of Care, GMC (General Medical Council) ethical guidance, NHS guidance, GIRES info for medical professionals guidance</w:t>
                      </w:r>
                    </w:p>
                    <w:p w14:paraId="3DCCF7F6" w14:textId="194BBB90" w:rsidR="0073613D" w:rsidRDefault="00626597" w:rsidP="00D22498">
                      <w:pPr>
                        <w:ind w:left="720"/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 xml:space="preserve">Up-to-Date </w:t>
                      </w:r>
                      <w:r w:rsidR="0073613D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Healthcare Info:</w:t>
                      </w:r>
                      <w:r w:rsidR="0073613D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ukftm.tumblr.com advisers, </w:t>
                      </w:r>
                      <w:r w:rsidR="00997FE9">
                        <w:rPr>
                          <w:rFonts w:ascii="Tahoma" w:hAnsi="Tahoma"/>
                          <w:sz w:val="18"/>
                          <w:szCs w:val="18"/>
                        </w:rPr>
                        <w:t>transhealthuk.noblogs.org</w:t>
                      </w:r>
                    </w:p>
                    <w:p w14:paraId="4CC8334C" w14:textId="3FF9CE9C" w:rsidR="0073613D" w:rsidRPr="00592F87" w:rsidRDefault="0073613D" w:rsidP="00D22498">
                      <w:pPr>
                        <w:ind w:left="720"/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 xml:space="preserve">Complaints: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>Patient Advice and Liaison Services (PALS), Trans Equality Legal Initiative (TELI)</w:t>
                      </w:r>
                    </w:p>
                    <w:p w14:paraId="52BF168E" w14:textId="77777777" w:rsidR="0073613D" w:rsidRPr="00D22498" w:rsidRDefault="0073613D" w:rsidP="00D22498">
                      <w:pPr>
                        <w:ind w:left="720"/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81C50" wp14:editId="2C8A8656">
                <wp:simplePos x="0" y="0"/>
                <wp:positionH relativeFrom="column">
                  <wp:posOffset>-228600</wp:posOffset>
                </wp:positionH>
                <wp:positionV relativeFrom="paragraph">
                  <wp:posOffset>4914900</wp:posOffset>
                </wp:positionV>
                <wp:extent cx="5715000" cy="3543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1CCF5" w14:textId="4906837F" w:rsidR="0073613D" w:rsidRPr="00C55B7F" w:rsidRDefault="0073613D" w:rsidP="003250A7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THE BASICS</w:t>
                            </w:r>
                          </w:p>
                          <w:p w14:paraId="7A108401" w14:textId="77777777" w:rsidR="0073613D" w:rsidRPr="00C55B7F" w:rsidRDefault="0073613D" w:rsidP="003250A7">
                            <w:pPr>
                              <w:jc w:val="center"/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</w:pPr>
                          </w:p>
                          <w:p w14:paraId="6682CF5F" w14:textId="16CE432F" w:rsidR="0073613D" w:rsidRDefault="0073613D" w:rsidP="003250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Take a history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D562736" w14:textId="1DD8A8BF" w:rsidR="0073613D" w:rsidRPr="00D22498" w:rsidRDefault="0073613D" w:rsidP="00D22498">
                            <w:pPr>
                              <w:ind w:left="720"/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22498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Establish what they want from treatment, what factors they see as influencing their care (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identity, age, race, </w:t>
                            </w:r>
                            <w:r w:rsidRPr="00D22498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mental health, disability, immigration status, etc.), what steps they’ve taken so far, and what they want from your help.</w:t>
                            </w:r>
                          </w:p>
                          <w:p w14:paraId="5409CB6F" w14:textId="01F41E19" w:rsidR="0073613D" w:rsidRPr="003250A7" w:rsidRDefault="0073613D" w:rsidP="003250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Work through options</w:t>
                            </w:r>
                            <w:r w:rsidRPr="003250A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D4E1CB" w14:textId="639EA19D" w:rsidR="0073613D" w:rsidRPr="00D22498" w:rsidRDefault="0073613D" w:rsidP="00D22498">
                            <w:pPr>
                              <w:ind w:left="720"/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22498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Do your own research relevant to the client’s case so you can present them with accurate information.</w:t>
                            </w:r>
                          </w:p>
                          <w:p w14:paraId="0D334528" w14:textId="02F0B91F" w:rsidR="0073613D" w:rsidRDefault="0073613D" w:rsidP="003250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Make a plan with client</w:t>
                            </w:r>
                            <w:r w:rsidRPr="003250A7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96FCB46" w14:textId="05F3E695" w:rsidR="0073613D" w:rsidRPr="00D22498" w:rsidRDefault="0073613D" w:rsidP="00D22498">
                            <w:pPr>
                              <w:ind w:left="720"/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22498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Ask the client what role they’d like you to play. Establish a communication system for the appointment.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Set a clear goal. </w:t>
                            </w:r>
                            <w:r w:rsidRPr="00D22498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Be realistic with the client about what is likely to happen in each appointment and make sure they understand the best and worst case outcomes.</w:t>
                            </w:r>
                          </w:p>
                          <w:p w14:paraId="67FA9D76" w14:textId="20FED979" w:rsidR="0073613D" w:rsidRDefault="0073613D" w:rsidP="003250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Implement plan.</w:t>
                            </w:r>
                          </w:p>
                          <w:p w14:paraId="0D7E75BB" w14:textId="6D49199F" w:rsidR="0073613D" w:rsidRPr="00D22498" w:rsidRDefault="0073613D" w:rsidP="00D22498">
                            <w:pPr>
                              <w:ind w:left="720"/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22498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Dress professionally and introduce yourself as an advocate. Speak only when asked/directed to speak by the client. Take notes. The doctor has the right to ask you to leave.</w:t>
                            </w:r>
                          </w:p>
                          <w:p w14:paraId="4D2F8615" w14:textId="7C5F6B3C" w:rsidR="0073613D" w:rsidRPr="002E7A4E" w:rsidRDefault="0073613D" w:rsidP="003250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Evaluate.</w:t>
                            </w:r>
                          </w:p>
                          <w:p w14:paraId="2868DC4E" w14:textId="5A006DEE" w:rsidR="0073613D" w:rsidRPr="00D22498" w:rsidRDefault="0073613D" w:rsidP="00D22498">
                            <w:pPr>
                              <w:ind w:firstLine="720"/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D22498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Debrief with the client afterwards.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Arrange a check-in to co-ordinate further advocacy.</w:t>
                            </w:r>
                          </w:p>
                          <w:p w14:paraId="3337BD21" w14:textId="73A1CB3D" w:rsidR="0073613D" w:rsidRPr="002E7A4E" w:rsidRDefault="0073613D" w:rsidP="003250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Escalate.</w:t>
                            </w:r>
                          </w:p>
                          <w:p w14:paraId="3F680786" w14:textId="0033CE1B" w:rsidR="0073613D" w:rsidRPr="00D22498" w:rsidRDefault="0073613D" w:rsidP="00D22498">
                            <w:pPr>
                              <w:ind w:left="720"/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22498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If the client isn’t satisfied with their care, get consent to take their case higher.</w:t>
                            </w:r>
                            <w:proofErr w:type="gramEnd"/>
                            <w:r w:rsidRPr="00D22498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Options are PALS complaints, changing GP, Action for Trans Health, the Trans Equality Legal Initiative, Baroness Liz Barker (the LGBT healthcare lead in Parliament).</w:t>
                            </w:r>
                          </w:p>
                          <w:p w14:paraId="125288DB" w14:textId="77777777" w:rsidR="0073613D" w:rsidRPr="00AF3991" w:rsidRDefault="0073613D" w:rsidP="00AF3991">
                            <w:pPr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7.95pt;margin-top:387pt;width:450pt;height:2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" filled="f" stroked="f">
                <v:textbox>
                  <w:txbxContent>
                    <w:p w14:paraId="02B1CCF5" w14:textId="4906837F" w:rsidR="0073613D" w:rsidRPr="00C55B7F" w:rsidRDefault="0073613D" w:rsidP="003250A7">
                      <w:pPr>
                        <w:jc w:val="center"/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THE BASICS</w:t>
                      </w:r>
                    </w:p>
                    <w:p w14:paraId="7A108401" w14:textId="77777777" w:rsidR="0073613D" w:rsidRPr="00C55B7F" w:rsidRDefault="0073613D" w:rsidP="003250A7">
                      <w:pPr>
                        <w:jc w:val="center"/>
                        <w:rPr>
                          <w:rFonts w:ascii="Tahoma" w:hAnsi="Tahoma"/>
                          <w:sz w:val="12"/>
                          <w:szCs w:val="12"/>
                        </w:rPr>
                      </w:pPr>
                    </w:p>
                    <w:p w14:paraId="6682CF5F" w14:textId="16CE432F" w:rsidR="0073613D" w:rsidRDefault="0073613D" w:rsidP="003250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Take a history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>.</w:t>
                      </w:r>
                    </w:p>
                    <w:p w14:paraId="7D562736" w14:textId="1DD8A8BF" w:rsidR="0073613D" w:rsidRPr="00D22498" w:rsidRDefault="0073613D" w:rsidP="00D22498">
                      <w:pPr>
                        <w:ind w:left="720"/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22498">
                        <w:rPr>
                          <w:rFonts w:ascii="Tahoma" w:hAnsi="Tahoma"/>
                          <w:sz w:val="18"/>
                          <w:szCs w:val="18"/>
                        </w:rPr>
                        <w:t>Establish what they want from treatment, what factors they see as influencing their care (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identity, age, race, </w:t>
                      </w:r>
                      <w:r w:rsidRPr="00D22498">
                        <w:rPr>
                          <w:rFonts w:ascii="Tahoma" w:hAnsi="Tahoma"/>
                          <w:sz w:val="18"/>
                          <w:szCs w:val="18"/>
                        </w:rPr>
                        <w:t>mental health, disability, immigration status, etc.), what steps they’ve taken so far, and what they want from your help.</w:t>
                      </w:r>
                    </w:p>
                    <w:p w14:paraId="5409CB6F" w14:textId="01F41E19" w:rsidR="0073613D" w:rsidRPr="003250A7" w:rsidRDefault="0073613D" w:rsidP="003250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Work through options</w:t>
                      </w:r>
                      <w:r w:rsidRPr="003250A7">
                        <w:rPr>
                          <w:rFonts w:ascii="Tahoma" w:hAnsi="Tahoma"/>
                          <w:sz w:val="18"/>
                          <w:szCs w:val="18"/>
                        </w:rPr>
                        <w:t>.</w:t>
                      </w:r>
                    </w:p>
                    <w:p w14:paraId="3FD4E1CB" w14:textId="639EA19D" w:rsidR="0073613D" w:rsidRPr="00D22498" w:rsidRDefault="0073613D" w:rsidP="00D22498">
                      <w:pPr>
                        <w:ind w:left="720"/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22498">
                        <w:rPr>
                          <w:rFonts w:ascii="Tahoma" w:hAnsi="Tahoma"/>
                          <w:sz w:val="18"/>
                          <w:szCs w:val="18"/>
                        </w:rPr>
                        <w:t>Do your own research relevant to the client’s case so you can present them with accurate information.</w:t>
                      </w:r>
                    </w:p>
                    <w:p w14:paraId="0D334528" w14:textId="02F0B91F" w:rsidR="0073613D" w:rsidRDefault="0073613D" w:rsidP="003250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Make a plan with client</w:t>
                      </w:r>
                      <w:r w:rsidRPr="003250A7">
                        <w:rPr>
                          <w:rFonts w:ascii="Tahoma" w:hAnsi="Tahoma"/>
                          <w:sz w:val="18"/>
                          <w:szCs w:val="18"/>
                        </w:rPr>
                        <w:t>.</w:t>
                      </w:r>
                    </w:p>
                    <w:p w14:paraId="296FCB46" w14:textId="05F3E695" w:rsidR="0073613D" w:rsidRPr="00D22498" w:rsidRDefault="0073613D" w:rsidP="00D22498">
                      <w:pPr>
                        <w:ind w:left="720"/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22498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Ask the client what role they’d like you to play. Establish a communication system for the appointment.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Set a clear goal. </w:t>
                      </w:r>
                      <w:r w:rsidRPr="00D22498">
                        <w:rPr>
                          <w:rFonts w:ascii="Tahoma" w:hAnsi="Tahoma"/>
                          <w:sz w:val="18"/>
                          <w:szCs w:val="18"/>
                        </w:rPr>
                        <w:t>Be realistic with the client about what is likely to happen in each appointment and make sure they understand the best and worst case outcomes.</w:t>
                      </w:r>
                    </w:p>
                    <w:p w14:paraId="67FA9D76" w14:textId="20FED979" w:rsidR="0073613D" w:rsidRDefault="0073613D" w:rsidP="003250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Implement plan.</w:t>
                      </w:r>
                    </w:p>
                    <w:p w14:paraId="0D7E75BB" w14:textId="6D49199F" w:rsidR="0073613D" w:rsidRPr="00D22498" w:rsidRDefault="0073613D" w:rsidP="00D22498">
                      <w:pPr>
                        <w:ind w:left="720"/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22498">
                        <w:rPr>
                          <w:rFonts w:ascii="Tahoma" w:hAnsi="Tahoma"/>
                          <w:sz w:val="18"/>
                          <w:szCs w:val="18"/>
                        </w:rPr>
                        <w:t>Dress professionally and introduce yourself as an advocate. Speak only when asked/directed to speak by the client. Take notes. The doctor has the right to ask you to leave.</w:t>
                      </w:r>
                    </w:p>
                    <w:p w14:paraId="4D2F8615" w14:textId="7C5F6B3C" w:rsidR="0073613D" w:rsidRPr="002E7A4E" w:rsidRDefault="0073613D" w:rsidP="003250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Evaluate.</w:t>
                      </w:r>
                    </w:p>
                    <w:p w14:paraId="2868DC4E" w14:textId="5A006DEE" w:rsidR="0073613D" w:rsidRPr="00D22498" w:rsidRDefault="0073613D" w:rsidP="00D22498">
                      <w:pPr>
                        <w:ind w:firstLine="720"/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D22498">
                        <w:rPr>
                          <w:rFonts w:ascii="Tahoma" w:hAnsi="Tahoma"/>
                          <w:sz w:val="18"/>
                          <w:szCs w:val="18"/>
                        </w:rPr>
                        <w:t>Debrief with the client afterwards.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Arrange a check-in to co-ordinate further advocacy.</w:t>
                      </w:r>
                    </w:p>
                    <w:p w14:paraId="3337BD21" w14:textId="73A1CB3D" w:rsidR="0073613D" w:rsidRPr="002E7A4E" w:rsidRDefault="0073613D" w:rsidP="003250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Escalate.</w:t>
                      </w:r>
                    </w:p>
                    <w:p w14:paraId="3F680786" w14:textId="0033CE1B" w:rsidR="0073613D" w:rsidRPr="00D22498" w:rsidRDefault="0073613D" w:rsidP="00D22498">
                      <w:pPr>
                        <w:ind w:left="720"/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proofErr w:type="gramStart"/>
                      <w:r w:rsidRPr="00D22498">
                        <w:rPr>
                          <w:rFonts w:ascii="Tahoma" w:hAnsi="Tahoma"/>
                          <w:sz w:val="18"/>
                          <w:szCs w:val="18"/>
                        </w:rPr>
                        <w:t>If the client isn’t satisfied with their care, get consent to take their case higher.</w:t>
                      </w:r>
                      <w:proofErr w:type="gramEnd"/>
                      <w:r w:rsidRPr="00D22498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Options are PALS complaints, changing GP, Action for Trans Health, the Trans Equality Legal Initiative, Baroness Liz Barker (the LGBT healthcare lead in Parliament).</w:t>
                      </w:r>
                    </w:p>
                    <w:p w14:paraId="125288DB" w14:textId="77777777" w:rsidR="0073613D" w:rsidRPr="00AF3991" w:rsidRDefault="0073613D" w:rsidP="00AF3991">
                      <w:pPr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BF3AE" wp14:editId="389D183A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5486400" cy="4800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F9634" w14:textId="69C0E0B2" w:rsidR="0073613D" w:rsidRDefault="0073613D" w:rsidP="003250A7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BEING AN ADVOCATE</w:t>
                            </w:r>
                          </w:p>
                          <w:p w14:paraId="07B215B2" w14:textId="77777777" w:rsidR="0073613D" w:rsidRPr="002E7A4E" w:rsidRDefault="0073613D" w:rsidP="003250A7">
                            <w:pPr>
                              <w:jc w:val="center"/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</w:pPr>
                          </w:p>
                          <w:p w14:paraId="61FC72F5" w14:textId="453403D5" w:rsidR="0073613D" w:rsidRPr="002E7A4E" w:rsidRDefault="00997FE9" w:rsidP="003250A7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Many grassroots LGBTQ organisations have</w:t>
                            </w:r>
                            <w:r w:rsidR="0073613D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developed advocacy services to support trans people 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accessing healthcare</w:t>
                            </w:r>
                            <w:r w:rsidR="0073613D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. The most important part of being an advocate is making sure the process is </w:t>
                            </w:r>
                            <w:r w:rsidR="0073613D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>patient-led</w:t>
                            </w:r>
                            <w:r w:rsidR="0073613D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and that you take as far a step back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324pt;width:6in;height:3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" filled="f" strokecolor="black [3213]">
                <v:textbox>
                  <w:txbxContent>
                    <w:p w14:paraId="267F9634" w14:textId="69C0E0B2" w:rsidR="0073613D" w:rsidRDefault="0073613D" w:rsidP="003250A7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BEING AN ADVOCATE</w:t>
                      </w:r>
                    </w:p>
                    <w:p w14:paraId="07B215B2" w14:textId="77777777" w:rsidR="0073613D" w:rsidRPr="002E7A4E" w:rsidRDefault="0073613D" w:rsidP="003250A7">
                      <w:pPr>
                        <w:jc w:val="center"/>
                        <w:rPr>
                          <w:rFonts w:ascii="Tahoma" w:hAnsi="Tahoma"/>
                          <w:sz w:val="12"/>
                          <w:szCs w:val="12"/>
                        </w:rPr>
                      </w:pPr>
                    </w:p>
                    <w:p w14:paraId="61FC72F5" w14:textId="453403D5" w:rsidR="0073613D" w:rsidRPr="002E7A4E" w:rsidRDefault="00997FE9" w:rsidP="003250A7">
                      <w:pPr>
                        <w:jc w:val="center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Many grassroots LGBTQ organisations have</w:t>
                      </w:r>
                      <w:r w:rsidR="0073613D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developed advocacy services to support trans people 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accessing healthcare</w:t>
                      </w:r>
                      <w:r w:rsidR="0073613D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. The most important part of being an advocate is making sure the process is </w:t>
                      </w:r>
                      <w:r w:rsidR="0073613D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>patient-led</w:t>
                      </w:r>
                      <w:r w:rsidR="0073613D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and that you take as far a step back as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E503C" wp14:editId="44051DFC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571500</wp:posOffset>
                </wp:positionV>
                <wp:extent cx="2743200" cy="3543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671F7" w14:textId="77777777" w:rsidR="0073613D" w:rsidRPr="00C55B7F" w:rsidRDefault="0073613D" w:rsidP="00C55B7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 w:rsidRPr="00C55B7F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THINGS TO KNOW</w:t>
                            </w:r>
                          </w:p>
                          <w:p w14:paraId="738EE2B3" w14:textId="77777777" w:rsidR="0073613D" w:rsidRPr="00D45AA7" w:rsidRDefault="0073613D" w:rsidP="00C55B7F">
                            <w:pPr>
                              <w:jc w:val="center"/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</w:pPr>
                          </w:p>
                          <w:p w14:paraId="4B9BE24A" w14:textId="0679DC13" w:rsidR="0073613D" w:rsidRPr="00C55B7F" w:rsidRDefault="0073613D" w:rsidP="00C55B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Wait Times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: Wait times on the NHS for a first appointment vary, but are currently </w:t>
                            </w:r>
                            <w:r w:rsidR="00997FE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over 2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years depending on the clinic. Follow-up appointments vary between </w:t>
                            </w:r>
                            <w:r w:rsidR="00997FE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12-16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months. Private wait times are usually about 6 months. You can call gender clinics or ask online resources for updated information.</w:t>
                            </w:r>
                          </w:p>
                          <w:p w14:paraId="36451510" w14:textId="56C43388" w:rsidR="0073613D" w:rsidRDefault="0073613D" w:rsidP="00C55B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 xml:space="preserve">Referrals: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You have the right to a direct referral to a gender clinic of your choice from a GP or sexual health clinic. There are no gender clinics in Wales.</w:t>
                            </w:r>
                          </w:p>
                          <w:p w14:paraId="1345DB09" w14:textId="77777777" w:rsidR="0073613D" w:rsidRDefault="0073613D" w:rsidP="00C55B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GPs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: Problems often arise where a GP isn’t willing to refer or prescribe.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This is quickest solved by changing GPs or getting an advocate involved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.</w:t>
                            </w:r>
                            <w:r w:rsidRPr="00C55B7F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F0A209" w14:textId="16CD9342" w:rsidR="0073613D" w:rsidRPr="00C55B7F" w:rsidRDefault="0073613D" w:rsidP="00C55B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Available Services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: Hormone replacement therapy (HRT), chest surgery (chest reconstruction or breast augmentation), genital reconstruction surgeries, gender-specific therapy, voice training. These are all available to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nonbinary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people and do not require hormones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in;margin-top:45pt;width:3in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vQ6tICAAAW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" filled="f" stroked="f">
                <v:textbox>
                  <w:txbxContent>
                    <w:p w14:paraId="524671F7" w14:textId="77777777" w:rsidR="0073613D" w:rsidRPr="00C55B7F" w:rsidRDefault="0073613D" w:rsidP="00C55B7F">
                      <w:pPr>
                        <w:jc w:val="center"/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 w:rsidRPr="00C55B7F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THINGS TO KNOW</w:t>
                      </w:r>
                    </w:p>
                    <w:p w14:paraId="738EE2B3" w14:textId="77777777" w:rsidR="0073613D" w:rsidRPr="00D45AA7" w:rsidRDefault="0073613D" w:rsidP="00C55B7F">
                      <w:pPr>
                        <w:jc w:val="center"/>
                        <w:rPr>
                          <w:rFonts w:ascii="Tahoma" w:hAnsi="Tahoma"/>
                          <w:sz w:val="12"/>
                          <w:szCs w:val="12"/>
                        </w:rPr>
                      </w:pPr>
                    </w:p>
                    <w:p w14:paraId="4B9BE24A" w14:textId="0679DC13" w:rsidR="0073613D" w:rsidRPr="00C55B7F" w:rsidRDefault="0073613D" w:rsidP="00C55B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Wait Times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: Wait times on the NHS for a first appointment vary, but are currently </w:t>
                      </w:r>
                      <w:r w:rsidR="00997FE9">
                        <w:rPr>
                          <w:rFonts w:ascii="Tahoma" w:hAnsi="Tahoma"/>
                          <w:sz w:val="18"/>
                          <w:szCs w:val="18"/>
                        </w:rPr>
                        <w:t>over 2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years depending on the clinic. Follow-up appointments vary between </w:t>
                      </w:r>
                      <w:r w:rsidR="00997FE9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12-16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>months. Private wait times are usually about 6 months. You can call gender clinics or ask online resources for updated information.</w:t>
                      </w:r>
                    </w:p>
                    <w:p w14:paraId="36451510" w14:textId="56C43388" w:rsidR="0073613D" w:rsidRDefault="0073613D" w:rsidP="00C55B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 xml:space="preserve">Referrals: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>You have the right to a direct referral to a gender clinic of your choice from a GP or sexual health clinic. There are no gender clinics in Wales.</w:t>
                      </w:r>
                    </w:p>
                    <w:p w14:paraId="1345DB09" w14:textId="77777777" w:rsidR="0073613D" w:rsidRDefault="0073613D" w:rsidP="00C55B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GPs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: Problems often arise where a GP isn’t willing to refer or prescribe. </w:t>
                      </w:r>
                      <w:proofErr w:type="gramStart"/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>This is quickest solved by changing GPs or getting an advocate involved</w:t>
                      </w:r>
                      <w:proofErr w:type="gramEnd"/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>.</w:t>
                      </w:r>
                      <w:r w:rsidRPr="00C55B7F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F0A209" w14:textId="16CD9342" w:rsidR="0073613D" w:rsidRPr="00C55B7F" w:rsidRDefault="0073613D" w:rsidP="00C55B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Available Services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: Hormone replacement therapy (HRT), chest surgery (chest reconstruction or breast augmentation), genital reconstruction surgeries, gender-specific therapy, voice training. These are all available to </w:t>
                      </w:r>
                      <w:proofErr w:type="spellStart"/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>nonbinary</w:t>
                      </w:r>
                      <w:proofErr w:type="spellEnd"/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people and do not require hormones first.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1D7FB" wp14:editId="46FA1384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2743200" cy="3543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07009" w14:textId="77777777" w:rsidR="0073613D" w:rsidRPr="00C55B7F" w:rsidRDefault="0073613D" w:rsidP="00765DC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 w:rsidRPr="00C55B7F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THE PROCESS</w:t>
                            </w:r>
                          </w:p>
                          <w:p w14:paraId="7856E128" w14:textId="77777777" w:rsidR="0073613D" w:rsidRPr="00C55B7F" w:rsidRDefault="0073613D" w:rsidP="00765DCC">
                            <w:pPr>
                              <w:jc w:val="center"/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</w:pPr>
                          </w:p>
                          <w:p w14:paraId="3808BE35" w14:textId="442C435D" w:rsidR="0073613D" w:rsidRPr="00C55B7F" w:rsidRDefault="0073613D" w:rsidP="00C55B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C55B7F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Referral from GP.</w:t>
                            </w:r>
                            <w:r w:rsidRPr="00C55B7F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You can</w:t>
                            </w:r>
                            <w:r w:rsidRPr="00C55B7F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bring the </w:t>
                            </w:r>
                            <w:r w:rsidR="00997FE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NHS </w:t>
                            </w:r>
                            <w:r w:rsidRPr="00C55B7F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referral form with you to speed up the process (gic.nhs.uk/referrals).</w:t>
                            </w: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You do NOT need to be seen by mental health services first.</w:t>
                            </w:r>
                          </w:p>
                          <w:p w14:paraId="4275C8B3" w14:textId="77777777" w:rsidR="0073613D" w:rsidRPr="00C55B7F" w:rsidRDefault="0073613D" w:rsidP="00C55B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C55B7F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 xml:space="preserve">First appointment at gender clinic. </w:t>
                            </w:r>
                            <w:r w:rsidRPr="00C55B7F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This is usually with a psychiatrist and involves an interview with questions about your family, mental health, work, sexuality, presentation, transition goals, etc.</w:t>
                            </w:r>
                          </w:p>
                          <w:p w14:paraId="3BA165E0" w14:textId="77777777" w:rsidR="0073613D" w:rsidRPr="00C55B7F" w:rsidRDefault="0073613D" w:rsidP="00C55B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C55B7F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Follow-up appointments at gender clinic</w:t>
                            </w:r>
                            <w:r w:rsidRPr="00C55B7F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. The purpose of these can vary between gender clinics. If you’re looking to get hormones, it’s a good idea to get a blood test done to take to follow-up appointments.</w:t>
                            </w:r>
                          </w:p>
                          <w:p w14:paraId="39CE1CF7" w14:textId="5DC997C2" w:rsidR="0073613D" w:rsidRPr="00C55B7F" w:rsidRDefault="0073613D" w:rsidP="00C55B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jc w:val="both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 w:rsidRPr="00C55B7F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 xml:space="preserve">Further referrals or on-going care. </w:t>
                            </w:r>
                            <w:r w:rsidRPr="00C55B7F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Gender clinicians can refer</w:t>
                            </w:r>
                            <w:r w:rsidR="00997FE9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 you to surgical teams of your choice</w:t>
                            </w:r>
                            <w:r w:rsidRPr="00C55B7F"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. You will be discharged from the GIC after accessing your main transition-related care and are responsible for your own follow-up blood monitoring every 6 months if on hormones</w:t>
                            </w:r>
                            <w:r w:rsidRPr="00C55B7F"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45pt;width:3in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zcttICAAAW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" filled="f" stroked="f">
                <v:textbox>
                  <w:txbxContent>
                    <w:p w14:paraId="36807009" w14:textId="77777777" w:rsidR="0073613D" w:rsidRPr="00C55B7F" w:rsidRDefault="0073613D" w:rsidP="00765DCC">
                      <w:pPr>
                        <w:jc w:val="center"/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 w:rsidRPr="00C55B7F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THE PROCESS</w:t>
                      </w:r>
                    </w:p>
                    <w:p w14:paraId="7856E128" w14:textId="77777777" w:rsidR="0073613D" w:rsidRPr="00C55B7F" w:rsidRDefault="0073613D" w:rsidP="00765DCC">
                      <w:pPr>
                        <w:jc w:val="center"/>
                        <w:rPr>
                          <w:rFonts w:ascii="Tahoma" w:hAnsi="Tahoma"/>
                          <w:sz w:val="12"/>
                          <w:szCs w:val="12"/>
                        </w:rPr>
                      </w:pPr>
                    </w:p>
                    <w:p w14:paraId="3808BE35" w14:textId="442C435D" w:rsidR="0073613D" w:rsidRPr="00C55B7F" w:rsidRDefault="0073613D" w:rsidP="00C55B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C55B7F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Referral from GP.</w:t>
                      </w:r>
                      <w:r w:rsidRPr="00C55B7F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>You can</w:t>
                      </w:r>
                      <w:r w:rsidRPr="00C55B7F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bring the </w:t>
                      </w:r>
                      <w:r w:rsidR="00997FE9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NHS </w:t>
                      </w:r>
                      <w:r w:rsidRPr="00C55B7F">
                        <w:rPr>
                          <w:rFonts w:ascii="Tahoma" w:hAnsi="Tahoma"/>
                          <w:sz w:val="18"/>
                          <w:szCs w:val="18"/>
                        </w:rPr>
                        <w:t>referral form with you to speed up the process (gic.nhs.uk/referrals).</w:t>
                      </w:r>
                      <w:r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You do NOT need to be seen by mental health services first.</w:t>
                      </w:r>
                    </w:p>
                    <w:p w14:paraId="4275C8B3" w14:textId="77777777" w:rsidR="0073613D" w:rsidRPr="00C55B7F" w:rsidRDefault="0073613D" w:rsidP="00C55B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C55B7F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 xml:space="preserve">First appointment at gender clinic. </w:t>
                      </w:r>
                      <w:r w:rsidRPr="00C55B7F">
                        <w:rPr>
                          <w:rFonts w:ascii="Tahoma" w:hAnsi="Tahoma"/>
                          <w:sz w:val="18"/>
                          <w:szCs w:val="18"/>
                        </w:rPr>
                        <w:t>This is usually with a psychiatrist and involves an interview with questions about your family, mental health, work, sexuality, presentation, transition goals, etc.</w:t>
                      </w:r>
                    </w:p>
                    <w:p w14:paraId="3BA165E0" w14:textId="77777777" w:rsidR="0073613D" w:rsidRPr="00C55B7F" w:rsidRDefault="0073613D" w:rsidP="00C55B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C55B7F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Follow-up appointments at gender clinic</w:t>
                      </w:r>
                      <w:r w:rsidRPr="00C55B7F">
                        <w:rPr>
                          <w:rFonts w:ascii="Tahoma" w:hAnsi="Tahoma"/>
                          <w:sz w:val="18"/>
                          <w:szCs w:val="18"/>
                        </w:rPr>
                        <w:t>. The purpose of these can vary between gender clinics. If you’re looking to get hormones, it’s a good idea to get a blood test done to take to follow-up appointments.</w:t>
                      </w:r>
                    </w:p>
                    <w:p w14:paraId="39CE1CF7" w14:textId="5DC997C2" w:rsidR="0073613D" w:rsidRPr="00C55B7F" w:rsidRDefault="0073613D" w:rsidP="00C55B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jc w:val="both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  <w:r w:rsidRPr="00C55B7F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 xml:space="preserve">Further referrals or on-going care. </w:t>
                      </w:r>
                      <w:r w:rsidRPr="00C55B7F">
                        <w:rPr>
                          <w:rFonts w:ascii="Tahoma" w:hAnsi="Tahoma"/>
                          <w:sz w:val="18"/>
                          <w:szCs w:val="18"/>
                        </w:rPr>
                        <w:t>Gender clinicians can refer</w:t>
                      </w:r>
                      <w:r w:rsidR="00997FE9">
                        <w:rPr>
                          <w:rFonts w:ascii="Tahoma" w:hAnsi="Tahoma"/>
                          <w:sz w:val="18"/>
                          <w:szCs w:val="18"/>
                        </w:rPr>
                        <w:t xml:space="preserve"> you to surgical teams of your choice</w:t>
                      </w:r>
                      <w:r w:rsidRPr="00C55B7F">
                        <w:rPr>
                          <w:rFonts w:ascii="Tahoma" w:hAnsi="Tahoma"/>
                          <w:sz w:val="18"/>
                          <w:szCs w:val="18"/>
                        </w:rPr>
                        <w:t>. You will be discharged from the GIC after accessing your main transition-related care and are responsible for your own follow-up blood monitoring every 6 months if on hormones</w:t>
                      </w:r>
                      <w:r w:rsidRPr="00C55B7F"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7DF9" wp14:editId="2A4B44B8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486400" cy="4343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2A5D" w14:textId="77777777" w:rsidR="0073613D" w:rsidRDefault="0073613D" w:rsidP="00765DCC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 w:rsidRPr="00765DCC">
                              <w:rPr>
                                <w:rFonts w:ascii="Tahoma" w:hAnsi="Tahoma"/>
                                <w:b/>
                              </w:rPr>
                              <w:t>TRANS HEALTHCARE 101</w:t>
                            </w:r>
                          </w:p>
                          <w:p w14:paraId="3D53F958" w14:textId="77777777" w:rsidR="0073613D" w:rsidRPr="00D45AA7" w:rsidRDefault="0073613D" w:rsidP="00765DCC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  <w:p w14:paraId="59916A5A" w14:textId="017D62E5" w:rsidR="0073613D" w:rsidRPr="00C55B7F" w:rsidRDefault="0073613D" w:rsidP="00765DCC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C55B7F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There are two options for medical transition in the UK: the NHS pathway and private clinics</w:t>
                            </w:r>
                            <w:r w:rsidR="00E40B6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, including </w:t>
                            </w:r>
                            <w:proofErr w:type="spellStart"/>
                            <w:r w:rsidR="00E40B6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Gendercare</w:t>
                            </w:r>
                            <w:proofErr w:type="spellEnd"/>
                            <w:r w:rsidR="00E40B6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(London), </w:t>
                            </w:r>
                            <w:proofErr w:type="spellStart"/>
                            <w:r w:rsidRPr="00C55B7F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YourGP</w:t>
                            </w:r>
                            <w:proofErr w:type="spellEnd"/>
                            <w:r w:rsidRPr="00C55B7F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(Edinburgh)</w:t>
                            </w:r>
                            <w:r w:rsidR="00E40B6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proofErr w:type="spellStart"/>
                            <w:r w:rsidR="00E40B6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GenderGP</w:t>
                            </w:r>
                            <w:proofErr w:type="spellEnd"/>
                            <w:r w:rsidR="00E40B6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(online)</w:t>
                            </w:r>
                            <w:bookmarkStart w:id="0" w:name="_GoBack"/>
                            <w:bookmarkEnd w:id="0"/>
                            <w:r w:rsidRPr="00C55B7F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. Both involve similar steps, though many choose to go private for shorter waits. </w:t>
                            </w:r>
                          </w:p>
                          <w:p w14:paraId="3AA9E02D" w14:textId="77777777" w:rsidR="0073613D" w:rsidRDefault="0073613D" w:rsidP="00765DCC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220A0441" w14:textId="77777777" w:rsidR="0073613D" w:rsidRPr="00765DCC" w:rsidRDefault="0073613D" w:rsidP="00765DCC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0;margin-top:-26.95pt;width:6in;height:3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" filled="f" strokecolor="black [3213]">
                <v:textbox>
                  <w:txbxContent>
                    <w:p w14:paraId="30C62A5D" w14:textId="77777777" w:rsidR="0073613D" w:rsidRDefault="0073613D" w:rsidP="00765DCC">
                      <w:pPr>
                        <w:jc w:val="center"/>
                        <w:rPr>
                          <w:rFonts w:ascii="Tahoma" w:hAnsi="Tahoma"/>
                        </w:rPr>
                      </w:pPr>
                      <w:r w:rsidRPr="00765DCC">
                        <w:rPr>
                          <w:rFonts w:ascii="Tahoma" w:hAnsi="Tahoma"/>
                          <w:b/>
                        </w:rPr>
                        <w:t>TRANS HEALTHCARE 101</w:t>
                      </w:r>
                    </w:p>
                    <w:p w14:paraId="3D53F958" w14:textId="77777777" w:rsidR="0073613D" w:rsidRPr="00D45AA7" w:rsidRDefault="0073613D" w:rsidP="00765DCC">
                      <w:pPr>
                        <w:jc w:val="center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</w:p>
                    <w:p w14:paraId="59916A5A" w14:textId="017D62E5" w:rsidR="0073613D" w:rsidRPr="00C55B7F" w:rsidRDefault="0073613D" w:rsidP="00765DCC">
                      <w:pPr>
                        <w:jc w:val="center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C55B7F">
                        <w:rPr>
                          <w:rFonts w:ascii="Tahoma" w:hAnsi="Tahoma"/>
                          <w:sz w:val="20"/>
                          <w:szCs w:val="20"/>
                        </w:rPr>
                        <w:t>There are two options for medical transition in the UK: the NHS pathway and private clinics</w:t>
                      </w:r>
                      <w:r w:rsidR="00E40B62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, including </w:t>
                      </w:r>
                      <w:proofErr w:type="spellStart"/>
                      <w:r w:rsidR="00E40B62">
                        <w:rPr>
                          <w:rFonts w:ascii="Tahoma" w:hAnsi="Tahoma"/>
                          <w:sz w:val="20"/>
                          <w:szCs w:val="20"/>
                        </w:rPr>
                        <w:t>Gendercare</w:t>
                      </w:r>
                      <w:proofErr w:type="spellEnd"/>
                      <w:r w:rsidR="00E40B62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(London), </w:t>
                      </w:r>
                      <w:proofErr w:type="spellStart"/>
                      <w:r w:rsidRPr="00C55B7F">
                        <w:rPr>
                          <w:rFonts w:ascii="Tahoma" w:hAnsi="Tahoma"/>
                          <w:sz w:val="20"/>
                          <w:szCs w:val="20"/>
                        </w:rPr>
                        <w:t>YourGP</w:t>
                      </w:r>
                      <w:proofErr w:type="spellEnd"/>
                      <w:r w:rsidRPr="00C55B7F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(Edinburgh)</w:t>
                      </w:r>
                      <w:r w:rsidR="00E40B62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, and </w:t>
                      </w:r>
                      <w:proofErr w:type="spellStart"/>
                      <w:r w:rsidR="00E40B62">
                        <w:rPr>
                          <w:rFonts w:ascii="Tahoma" w:hAnsi="Tahoma"/>
                          <w:sz w:val="20"/>
                          <w:szCs w:val="20"/>
                        </w:rPr>
                        <w:t>GenderGP</w:t>
                      </w:r>
                      <w:proofErr w:type="spellEnd"/>
                      <w:r w:rsidR="00E40B62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(online)</w:t>
                      </w:r>
                      <w:bookmarkStart w:id="1" w:name="_GoBack"/>
                      <w:bookmarkEnd w:id="1"/>
                      <w:r w:rsidRPr="00C55B7F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. Both involve similar steps, though many choose to go private for shorter waits. </w:t>
                      </w:r>
                    </w:p>
                    <w:p w14:paraId="3AA9E02D" w14:textId="77777777" w:rsidR="0073613D" w:rsidRDefault="0073613D" w:rsidP="00765DCC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220A0441" w14:textId="77777777" w:rsidR="0073613D" w:rsidRPr="00765DCC" w:rsidRDefault="0073613D" w:rsidP="00765DCC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5DCC" w:rsidRPr="00765DCC" w:rsidSect="00D83C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D0E"/>
    <w:multiLevelType w:val="hybridMultilevel"/>
    <w:tmpl w:val="97203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B0A4F"/>
    <w:multiLevelType w:val="hybridMultilevel"/>
    <w:tmpl w:val="3B56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55720"/>
    <w:multiLevelType w:val="hybridMultilevel"/>
    <w:tmpl w:val="653E67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A63463A"/>
    <w:multiLevelType w:val="hybridMultilevel"/>
    <w:tmpl w:val="A2FE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A2D22"/>
    <w:multiLevelType w:val="hybridMultilevel"/>
    <w:tmpl w:val="52BC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CC"/>
    <w:rsid w:val="000C1447"/>
    <w:rsid w:val="00230909"/>
    <w:rsid w:val="002E7A4E"/>
    <w:rsid w:val="003250A7"/>
    <w:rsid w:val="00457062"/>
    <w:rsid w:val="005637EA"/>
    <w:rsid w:val="00592F87"/>
    <w:rsid w:val="00626597"/>
    <w:rsid w:val="0073613D"/>
    <w:rsid w:val="00765DCC"/>
    <w:rsid w:val="00997FE9"/>
    <w:rsid w:val="00AF3991"/>
    <w:rsid w:val="00C55B7F"/>
    <w:rsid w:val="00D22498"/>
    <w:rsid w:val="00D45AA7"/>
    <w:rsid w:val="00D83C77"/>
    <w:rsid w:val="00E40B62"/>
    <w:rsid w:val="00F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20C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</Words>
  <Characters>6</Characters>
  <Application>Microsoft Macintosh Word</Application>
  <DocSecurity>0</DocSecurity>
  <Lines>1</Lines>
  <Paragraphs>1</Paragraphs>
  <ScaleCrop>false</ScaleCrop>
  <Company>University of Oxford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Doyle</dc:creator>
  <cp:keywords/>
  <dc:description/>
  <cp:lastModifiedBy>J. Doyle</cp:lastModifiedBy>
  <cp:revision>10</cp:revision>
  <cp:lastPrinted>2018-06-15T12:25:00Z</cp:lastPrinted>
  <dcterms:created xsi:type="dcterms:W3CDTF">2018-06-15T10:57:00Z</dcterms:created>
  <dcterms:modified xsi:type="dcterms:W3CDTF">2020-05-12T16:02:00Z</dcterms:modified>
</cp:coreProperties>
</file>